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360" w:lineRule="auto"/>
      </w:pPr>
      <w:r>
        <w:rPr>
          <w:rFonts w:ascii="Georgia" w:hAnsi="Georgia" w:eastAsia="SimSun"/>
          <w:b/>
          <w:color w:val="2D3748"/>
          <w:sz w:val="40"/>
        </w:rPr>
        <w:t>山东科技大学软科中国大学排名提升工作汇报</w:t>
      </w:r>
    </w:p>
    <w:p>
      <w:pPr>
        <w:spacing w:after="80" w:before="0" w:line="360" w:lineRule="auto"/>
      </w:pPr>
      <w:r>
        <w:rPr>
          <w:rFonts w:ascii="Segoe UI" w:hAnsi="Segoe UI" w:eastAsia="Microsoft YaHei"/>
          <w:b w:val="0"/>
          <w:color w:val="5A6A7A"/>
          <w:sz w:val="18"/>
        </w:rPr>
        <w:t>2026 年 11 月 4 日 · 数据截至 2026 年 11 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0D1A39"/>
          </w:tcPr>
          <w:p>
            <w:pPr>
              <w:spacing w:after="40" w:before="40"/>
            </w:pPr>
            <w:r/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>总判断：2027 年目标第 123 名——靠对账可达，按同段涨幅仍有缺口、逐年补；三年依托「811」双峰（安全全国第 3），第 110 名为进取目标。</w:t>
            </w:r>
          </w:p>
        </w:tc>
      </w:tr>
    </w:tbl>
    <w:p>
      <w:pPr>
        <w:pStyle w:val="Heading1"/>
      </w:pPr>
      <w:r>
        <w:t>一、目标</w:t>
      </w:r>
    </w:p>
    <w:p>
      <w:pPr>
        <w:spacing w:after="40" w:before="4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1 · 三年目标（2027 年第 123 名为学校目标、线 238.4 分；余按 2026 年分布测算）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0" w:type="dxa"/>
          <w:bottom w:w="0" w:type="dxa"/>
          <w:left w:w="45" w:type="dxa"/>
          <w:right w:w="45" w:type="dxa"/>
        </w:tblCellMar>
        <w:tblLayout w:type="fixed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fill="F5F3EF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2026（官方公布）</w:t>
            </w:r>
          </w:p>
        </w:tc>
        <w:tc>
          <w:tcPr>
            <w:tcW w:type="dxa" w:w="2353"/>
            <w:shd w:val="clear" w:fill="F5F3EF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2027</w:t>
            </w:r>
          </w:p>
        </w:tc>
        <w:tc>
          <w:tcPr>
            <w:tcW w:type="dxa" w:w="2353"/>
            <w:shd w:val="clear" w:fill="F5F3EF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2028</w:t>
            </w:r>
          </w:p>
        </w:tc>
        <w:tc>
          <w:tcPr>
            <w:tcW w:type="dxa" w:w="2353"/>
            <w:shd w:val="clear" w:fill="F5F3EF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2029</w:t>
            </w:r>
          </w:p>
        </w:tc>
      </w:tr>
      <w:tr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226.4 分</w:t>
            </w:r>
          </w:p>
        </w:tc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230.3 分</w:t>
            </w:r>
          </w:p>
        </w:tc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230.3 分</w:t>
            </w:r>
          </w:p>
        </w:tc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231.2 分</w:t>
            </w:r>
          </w:p>
        </w:tc>
      </w:tr>
      <w:tr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140 名</w:t>
            </w:r>
          </w:p>
        </w:tc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123 名</w:t>
            </w:r>
          </w:p>
        </w:tc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139 名</w:t>
            </w:r>
          </w:p>
        </w:tc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137 名</w:t>
            </w:r>
          </w:p>
        </w:tc>
      </w:tr>
    </w:tbl>
    <w:p>
      <w:pPr>
        <w:pStyle w:val="Heading1"/>
      </w:pPr>
      <w:r>
        <w:t>二、三年目标与实现路径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0" w:type="dxa"/>
          <w:bottom w:w="0" w:type="dxa"/>
          <w:left w:w="45" w:type="dxa"/>
          <w:right w:w="45" w:type="dxa"/>
        </w:tblCellMar>
        <w:tblLayout w:type="fixed"/>
      </w:tblPr>
      <w:tblGrid>
        <w:gridCol w:w="793"/>
        <w:gridCol w:w="1417"/>
        <w:gridCol w:w="2608"/>
        <w:gridCol w:w="1984"/>
        <w:gridCol w:w="2608"/>
      </w:tblGrid>
      <w:tr>
        <w:trPr>
          <w:tblHeader w:val="true"/>
        </w:trPr>
        <w:tc>
          <w:tcPr>
            <w:tcW w:type="dxa" w:w="794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年份</w:t>
            </w:r>
          </w:p>
        </w:tc>
        <w:tc>
          <w:tcPr>
            <w:tcW w:type="dxa" w:w="1417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目标</w:t>
            </w:r>
          </w:p>
        </w:tc>
        <w:tc>
          <w:tcPr>
            <w:tcW w:type="dxa" w:w="2608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预计可达</w:t>
            </w:r>
          </w:p>
        </w:tc>
        <w:tc>
          <w:tcPr>
            <w:tcW w:type="dxa" w:w="1984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差距</w:t>
            </w:r>
          </w:p>
        </w:tc>
        <w:tc>
          <w:tcPr>
            <w:tcW w:type="dxa" w:w="2608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补足安排</w:t>
            </w:r>
          </w:p>
        </w:tc>
      </w:tr>
      <w:tr>
        <w:tc>
          <w:tcPr>
            <w:tcW w:type="dxa" w:w="794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2027</w:t>
            </w:r>
          </w:p>
        </w:tc>
        <w:tc>
          <w:tcPr>
            <w:tcW w:type="dxa" w:w="1417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238.4 分 · 第 123 名（学校目标）</w:t>
            </w:r>
          </w:p>
        </w:tc>
        <w:tc>
          <w:tcPr>
            <w:tcW w:type="dxa" w:w="260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234.3~236.2 分：自然增长 +4~5、纳入目标提升 +4.71、备选事项 +0.88</w:t>
            </w:r>
          </w:p>
        </w:tc>
        <w:tc>
          <w:tcPr>
            <w:tcW w:type="dxa" w:w="1984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距第 139 名分数线 237.8~238.4 分，差距约 1.6~3.5 分</w:t>
            </w:r>
          </w:p>
        </w:tc>
        <w:tc>
          <w:tcPr>
            <w:tcW w:type="dxa" w:w="260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备选事项 3 项 +0.88 分，核查确认后逐项纳入；需追加的提升 +3.5 分：研本比空间 +4.24 分</w:t>
            </w:r>
          </w:p>
        </w:tc>
      </w:tr>
      <w:tr>
        <w:tc>
          <w:tcPr>
            <w:tcW w:type="dxa" w:w="9411"/>
            <w:gridSpan w:val="5"/>
            <w:shd w:val="clear" w:fill="F8F6F3"/>
          </w:tcPr>
          <w:p>
            <w:pPr>
              <w:spacing w:after="20" w:before="20" w:line="264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达成依据：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纳入目标的提升已经逐项测算；备选全额 +0.88 分补足差距，另有 +4.24 分空间支撑需追加的提升。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主要工作：①7项指标逐项核查与台账核对；②师生比核对定值；③国际合作论文比例核对定值。</w:t>
            </w:r>
          </w:p>
        </w:tc>
      </w:tr>
      <w:tr>
        <w:tc>
          <w:tcPr>
            <w:tcW w:type="dxa" w:w="794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2028</w:t>
            </w:r>
          </w:p>
        </w:tc>
        <w:tc>
          <w:tcPr>
            <w:tcW w:type="dxa" w:w="1417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230.3 分 · 第 139 名</w:t>
            </w:r>
          </w:p>
        </w:tc>
        <w:tc>
          <w:tcPr>
            <w:tcW w:type="dxa" w:w="260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238.3~241.2 分：上年预计可达结转，自然增长 +4~5、纳入目标的提升 +0.00</w:t>
            </w:r>
          </w:p>
        </w:tc>
        <w:tc>
          <w:tcPr>
            <w:tcW w:type="dxa" w:w="1984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按测算可达到目标；与平均涨幅相比，差距约 4.1~7.0 分</w:t>
            </w:r>
          </w:p>
        </w:tc>
        <w:tc>
          <w:tcPr>
            <w:tcW w:type="dxa" w:w="260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需追加的提升 +7.0 分：研本比、高端人才两项空间合计 +7.36 分</w:t>
            </w:r>
          </w:p>
        </w:tc>
      </w:tr>
      <w:tr>
        <w:tc>
          <w:tcPr>
            <w:tcW w:type="dxa" w:w="9411"/>
            <w:gridSpan w:val="5"/>
            <w:shd w:val="clear" w:fill="F8F6F3"/>
          </w:tcPr>
          <w:p>
            <w:pPr>
              <w:spacing w:after="20" w:before="20" w:line="264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达成依据：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已确定成果保持不回落，新增分值来自持续建设与台账核对；+7.36 分提升空间可支撑需追加的提升。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主要工作：①本科毕业生深造率按目标推进。</w:t>
            </w:r>
          </w:p>
        </w:tc>
      </w:tr>
      <w:tr>
        <w:tc>
          <w:tcPr>
            <w:tcW w:type="dxa" w:w="794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2029</w:t>
            </w:r>
          </w:p>
        </w:tc>
        <w:tc>
          <w:tcPr>
            <w:tcW w:type="dxa" w:w="1417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231.2 分 · 第 137 名</w:t>
            </w:r>
          </w:p>
        </w:tc>
        <w:tc>
          <w:tcPr>
            <w:tcW w:type="dxa" w:w="260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243.2~247.0 分：上年预计可达结转，自然增长 +4~5、纳入目标的提升 +0.85</w:t>
            </w:r>
          </w:p>
        </w:tc>
        <w:tc>
          <w:tcPr>
            <w:tcW w:type="dxa" w:w="1984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按测算可达到目标；与平均涨幅相比，差距约 6.7~10.5 分</w:t>
            </w:r>
          </w:p>
        </w:tc>
        <w:tc>
          <w:tcPr>
            <w:tcW w:type="dxa" w:w="260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需追加的提升 +10.5 分：研本比等 4 项空间合计 +13.09 分</w:t>
            </w:r>
          </w:p>
        </w:tc>
      </w:tr>
      <w:tr>
        <w:tc>
          <w:tcPr>
            <w:tcW w:type="dxa" w:w="9411"/>
            <w:gridSpan w:val="5"/>
            <w:shd w:val="clear" w:fill="F8F6F3"/>
          </w:tcPr>
          <w:p>
            <w:pPr>
              <w:spacing w:after="20" w:before="20" w:line="264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达成依据：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+0.85 分源于正式报告编制期提前确定数值；+13.09 分提升空间可支撑需追加的提升。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主要工作：①正式报告提前规划，编制期先定口径与目标值；②国家级与认证专业精度按目标推进；③科研经费（师均）按目标推进。</w:t>
            </w:r>
          </w:p>
        </w:tc>
      </w:tr>
    </w:tbl>
    <w:p>
      <w:pPr>
        <w:spacing w:after="40" w:before="4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 xml:space="preserve">图 · 新增分数构成（条长按新增部分绘制，起点为测算基线）　</w:t>
      </w:r>
      <w:r>
        <w:rPr>
          <w:rFonts w:ascii="Segoe UI" w:hAnsi="Segoe UI" w:eastAsia="Microsoft YaHei"/>
          <w:b w:val="0"/>
          <w:color w:val="57A773"/>
          <w:sz w:val="18"/>
        </w:rPr>
        <w:t xml:space="preserve">■ </w:t>
      </w:r>
      <w:r>
        <w:rPr>
          <w:rFonts w:ascii="Segoe UI" w:hAnsi="Segoe UI" w:eastAsia="Microsoft YaHei"/>
          <w:b w:val="0"/>
          <w:color w:val="2D3748"/>
          <w:sz w:val="18"/>
        </w:rPr>
        <w:t xml:space="preserve">自然增长 </w:t>
      </w:r>
      <w:r>
        <w:rPr>
          <w:rFonts w:ascii="Segoe UI" w:hAnsi="Segoe UI" w:eastAsia="Microsoft YaHei"/>
          <w:b w:val="0"/>
          <w:color w:val="4A90D9"/>
          <w:sz w:val="18"/>
        </w:rPr>
        <w:t xml:space="preserve">■ </w:t>
      </w:r>
      <w:r>
        <w:rPr>
          <w:rFonts w:ascii="Segoe UI" w:hAnsi="Segoe UI" w:eastAsia="Microsoft YaHei"/>
          <w:b w:val="0"/>
          <w:color w:val="2D3748"/>
          <w:sz w:val="18"/>
        </w:rPr>
        <w:t xml:space="preserve">纳入目标的提升 </w:t>
      </w:r>
      <w:r>
        <w:rPr>
          <w:rFonts w:ascii="Segoe UI" w:hAnsi="Segoe UI" w:eastAsia="Microsoft YaHei"/>
          <w:b w:val="0"/>
          <w:color w:val="C9A227"/>
          <w:sz w:val="18"/>
        </w:rPr>
        <w:t xml:space="preserve">■ </w:t>
      </w:r>
      <w:r>
        <w:rPr>
          <w:rFonts w:ascii="Segoe UI" w:hAnsi="Segoe UI" w:eastAsia="Microsoft YaHei"/>
          <w:b w:val="0"/>
          <w:color w:val="2D3748"/>
          <w:sz w:val="18"/>
        </w:rPr>
        <w:t>备选事项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CellMar>
          <w:top w:w="0" w:type="dxa"/>
          <w:bottom w:w="0" w:type="dxa"/>
          <w:left w:w="0" w:type="dxa"/>
          <w:right w:w="0" w:type="dxa"/>
        </w:tblCellMar>
      </w:tblPr>
      <w:tblGrid>
        <w:gridCol w:w="1701"/>
        <w:gridCol w:w="2489"/>
        <w:gridCol w:w="2347"/>
        <w:gridCol w:w="436"/>
        <w:gridCol w:w="2438"/>
      </w:tblGrid>
      <w:tr>
        <w:trPr>
          <w:trHeight w:val="141" w:hRule="atLeast"/>
        </w:trPr>
        <w:tc>
          <w:tcPr>
            <w:tcW w:type="dxa" w:w="1701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 xml:space="preserve">2027 </w:t>
            </w:r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· 基线 225.6 分</w:t>
            </w:r>
          </w:p>
        </w:tc>
        <w:tc>
          <w:tcPr>
            <w:tcW w:type="dxa" w:w="2489"/>
            <w:shd w:val="clear" w:fill="57A773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+5.0</w:t>
            </w:r>
          </w:p>
        </w:tc>
        <w:tc>
          <w:tcPr>
            <w:tcW w:type="dxa" w:w="2347"/>
            <w:shd w:val="clear" w:fill="4A90D9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+4.71</w:t>
            </w:r>
          </w:p>
        </w:tc>
        <w:tc>
          <w:tcPr>
            <w:tcW w:type="dxa" w:w="437"/>
            <w:shd w:val="clear" w:fill="F7E8BD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+0.88</w:t>
            </w:r>
          </w:p>
        </w:tc>
        <w:tc>
          <w:tcPr>
            <w:tcW w:type="dxa" w:w="2438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预计可达（上限）236.2 分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CellMar>
          <w:top w:w="0" w:type="dxa"/>
          <w:bottom w:w="0" w:type="dxa"/>
          <w:left w:w="0" w:type="dxa"/>
          <w:right w:w="0" w:type="dxa"/>
        </w:tblCellMar>
      </w:tblPr>
      <w:tblGrid>
        <w:gridCol w:w="1701"/>
        <w:gridCol w:w="2489"/>
        <w:gridCol w:w="0"/>
        <w:gridCol w:w="5222"/>
      </w:tblGrid>
      <w:tr>
        <w:trPr>
          <w:trHeight w:val="141" w:hRule="atLeast"/>
        </w:trPr>
        <w:tc>
          <w:tcPr>
            <w:tcW w:type="dxa" w:w="1701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 xml:space="preserve">2028 </w:t>
            </w:r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· 起点 236.2 分</w:t>
            </w:r>
          </w:p>
        </w:tc>
        <w:tc>
          <w:tcPr>
            <w:tcW w:type="dxa" w:w="2489"/>
            <w:shd w:val="clear" w:fill="57A773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+5.0</w:t>
            </w:r>
          </w:p>
        </w:tc>
        <w:tc>
          <w:tcPr>
            <w:tcW w:type="dxa" w:w="0"/>
            <w:shd w:val="clear" w:fill="4A90D9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+0.00</w:t>
            </w:r>
          </w:p>
        </w:tc>
        <w:tc>
          <w:tcPr>
            <w:tcW w:type="dxa" w:w="5221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预计可达（上限）241.2 分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CellMar>
          <w:top w:w="0" w:type="dxa"/>
          <w:bottom w:w="0" w:type="dxa"/>
          <w:left w:w="0" w:type="dxa"/>
          <w:right w:w="0" w:type="dxa"/>
        </w:tblCellMar>
      </w:tblPr>
      <w:tblGrid>
        <w:gridCol w:w="1701"/>
        <w:gridCol w:w="2489"/>
        <w:gridCol w:w="425"/>
        <w:gridCol w:w="4796"/>
      </w:tblGrid>
      <w:tr>
        <w:trPr>
          <w:trHeight w:val="141" w:hRule="atLeast"/>
        </w:trPr>
        <w:tc>
          <w:tcPr>
            <w:tcW w:type="dxa" w:w="1701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 xml:space="preserve">2029 </w:t>
            </w:r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· 起点 241.2 分</w:t>
            </w:r>
          </w:p>
        </w:tc>
        <w:tc>
          <w:tcPr>
            <w:tcW w:type="dxa" w:w="2489"/>
            <w:shd w:val="clear" w:fill="57A773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+5.0</w:t>
            </w:r>
          </w:p>
        </w:tc>
        <w:tc>
          <w:tcPr>
            <w:tcW w:type="dxa" w:w="425"/>
            <w:shd w:val="clear" w:fill="4A90D9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+0.85</w:t>
            </w:r>
          </w:p>
        </w:tc>
        <w:tc>
          <w:tcPr>
            <w:tcW w:type="dxa" w:w="4796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预计可达（上限）247.0 分</w:t>
            </w:r>
          </w:p>
        </w:tc>
      </w:tr>
    </w:tbl>
    <w:p>
      <w:pPr>
        <w:pStyle w:val="Heading1"/>
        <w:spacing w:before="0"/>
      </w:pPr>
      <w:r>
        <w:t>三、支撑资源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0" w:type="dxa"/>
          <w:bottom w:w="0" w:type="dxa"/>
          <w:left w:w="45" w:type="dxa"/>
          <w:right w:w="45" w:type="dxa"/>
        </w:tblCellMar>
        <w:tblLayout w:type="fixed"/>
      </w:tblPr>
      <w:tblGrid>
        <w:gridCol w:w="2608"/>
        <w:gridCol w:w="2268"/>
        <w:gridCol w:w="2268"/>
        <w:gridCol w:w="2268"/>
      </w:tblGrid>
      <w:tr>
        <w:trPr>
          <w:tblHeader w:val="true"/>
        </w:trPr>
        <w:tc>
          <w:tcPr>
            <w:tcW w:type="dxa" w:w="2608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逐项核查的数据与材料底座</w:t>
            </w:r>
          </w:p>
        </w:tc>
        <w:tc>
          <w:tcPr>
            <w:tcW w:type="dxa" w:w="2268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软科口径测算模型</w:t>
            </w:r>
          </w:p>
        </w:tc>
        <w:tc>
          <w:tcPr>
            <w:tcW w:type="dxa" w:w="2268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正式报告编制统筹</w:t>
            </w:r>
          </w:p>
        </w:tc>
        <w:tc>
          <w:tcPr>
            <w:tcW w:type="dxa" w:w="2268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逐年动态复测</w:t>
            </w:r>
          </w:p>
        </w:tc>
      </w:tr>
      <w:tr>
        <w:tc>
          <w:tcPr>
            <w:tcW w:type="dxa" w:w="260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100 项指标逐项核查，核查材料共 89 条</w:t>
            </w:r>
          </w:p>
        </w:tc>
        <w:tc>
          <w:tcPr>
            <w:tcW w:type="dxa" w:w="226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按软科公开方法逐项测算、分数线逐年推算</w:t>
            </w:r>
          </w:p>
        </w:tc>
        <w:tc>
          <w:tcPr>
            <w:tcW w:type="dxa" w:w="226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报告与统计编制期先行评审口径并确定目标值</w:t>
            </w:r>
          </w:p>
        </w:tc>
        <w:tc>
          <w:tcPr>
            <w:tcW w:type="dxa" w:w="226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每年新版后复测构成与差距、滚动调整</w:t>
            </w:r>
          </w:p>
        </w:tc>
      </w:tr>
    </w:tbl>
    <w:p>
      <w:pPr>
        <w:spacing w:after="0" w:before="60" w:line="360" w:lineRule="auto"/>
      </w:pPr>
      <w:r>
        <w:rPr>
          <w:rFonts w:ascii="Segoe UI" w:hAnsi="Segoe UI" w:eastAsia="Microsoft YaHei"/>
          <w:b w:val="0"/>
          <w:color w:val="2D3748"/>
          <w:sz w:val="20"/>
        </w:rPr>
        <w:t>本材料所依据的测算与逐项核查，由 mShare 提供技术支持。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2026 年 11 月 4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山东科技大学 · 软科中国大学排名提升工作汇报</w:t>
      <w:tab/>
      <w:t>数据截至 2026 年 11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Segoe UI" w:hAnsi="Segoe UI" w:eastAsia="Microsoft YaHei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60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