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324" w:lineRule="auto"/>
      </w:pPr>
      <w:r>
        <w:rPr>
          <w:rFonts w:ascii="Georgia" w:hAnsi="Georgia" w:eastAsia="SimSun"/>
          <w:b/>
          <w:color w:val="2D3748"/>
          <w:sz w:val="40"/>
        </w:rPr>
        <w:t>山东科技大学软科中国大学排名提升工作简报</w:t>
      </w:r>
    </w:p>
    <w:p>
      <w:pPr>
        <w:spacing w:after="80" w:before="0" w:line="324" w:lineRule="auto"/>
      </w:pPr>
      <w:r>
        <w:rPr>
          <w:rFonts w:ascii="Georgia" w:hAnsi="Georgia" w:eastAsia="SimSun"/>
          <w:b w:val="0"/>
          <w:color w:val="4A90D9"/>
          <w:sz w:val="26"/>
        </w:rPr>
        <w:t>2027 年提升目标与三年工作安排</w:t>
      </w:r>
    </w:p>
    <w:p>
      <w:pPr>
        <w:spacing w:after="120" w:before="0" w:line="324" w:lineRule="auto"/>
      </w:pPr>
      <w:r>
        <w:rPr>
          <w:rFonts w:ascii="Segoe UI" w:hAnsi="Segoe UI" w:eastAsia="Microsoft YaHei"/>
          <w:b w:val="0"/>
          <w:color w:val="5A6A7A"/>
          <w:sz w:val="18"/>
        </w:rPr>
        <w:t>2026 年 11 月 4 日 · 数据截至 2026 年 11 月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1 · 目标值一览（总分为目标任务口径；2027 年第 123 名为学校目标、目标线 238.4 分，其余名次按 2026 年官方分数分布测算，仅供参考）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fill="F5F3EF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2026（官方公布）</w:t>
            </w:r>
          </w:p>
        </w:tc>
        <w:tc>
          <w:tcPr>
            <w:tcW w:type="dxa" w:w="1882"/>
            <w:shd w:val="clear" w:fill="F5F3EF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2027</w:t>
            </w:r>
          </w:p>
        </w:tc>
        <w:tc>
          <w:tcPr>
            <w:tcW w:type="dxa" w:w="1882"/>
            <w:shd w:val="clear" w:fill="F5F3EF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2028</w:t>
            </w:r>
          </w:p>
        </w:tc>
        <w:tc>
          <w:tcPr>
            <w:tcW w:type="dxa" w:w="1882"/>
            <w:shd w:val="clear" w:fill="F5F3EF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2029</w:t>
            </w:r>
          </w:p>
        </w:tc>
        <w:tc>
          <w:tcPr>
            <w:tcW w:type="dxa" w:w="1882"/>
            <w:shd w:val="clear" w:fill="F5F3EF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2030（延伸）</w:t>
            </w:r>
          </w:p>
        </w:tc>
      </w:tr>
      <w:tr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226.4 分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230.3 分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230.3 分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231.2 分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Georgia" w:hAnsi="Georgia" w:eastAsia="SimSun"/>
                <w:b/>
                <w:color w:val="2D3748"/>
                <w:sz w:val="28"/>
              </w:rPr>
              <w:t>231.2 分</w:t>
            </w:r>
          </w:p>
        </w:tc>
      </w:tr>
      <w:tr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140 名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123 名（学校目标）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139 名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137 名</w:t>
            </w:r>
          </w:p>
        </w:tc>
        <w:tc>
          <w:tcPr>
            <w:tcW w:type="dxa" w:w="1882"/>
          </w:tcPr>
          <w:p>
            <w:pPr>
              <w:spacing w:after="20" w:before="20" w:line="300" w:lineRule="auto"/>
              <w:jc w:val="center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第 137 名</w:t>
            </w:r>
          </w:p>
        </w:tc>
      </w:tr>
    </w:tbl>
    <w:p>
      <w:pPr>
        <w:spacing w:after="60" w:before="160" w:line="324" w:lineRule="auto"/>
      </w:pPr>
      <w:r>
        <w:rPr>
          <w:rFonts w:ascii="Georgia" w:hAnsi="Georgia" w:eastAsia="SimSun"/>
          <w:b/>
          <w:color w:val="2D3748"/>
          <w:sz w:val="25"/>
        </w:rPr>
        <w:t>目录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一、基本情况与总体判断</w:t>
      </w:r>
      <w:r>
        <w:rPr>
          <w:rFonts w:ascii="Segoe UI" w:hAnsi="Segoe UI" w:eastAsia="Microsoft YaHei"/>
          <w:b w:val="0"/>
          <w:color w:val="5A6A7A"/>
          <w:sz w:val="21"/>
        </w:rPr>
        <w:tab/>
        <w:t>1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二、2027 年目标、差距与重点工作</w:t>
      </w:r>
      <w:r>
        <w:rPr>
          <w:rFonts w:ascii="Segoe UI" w:hAnsi="Segoe UI" w:eastAsia="Microsoft YaHei"/>
          <w:b w:val="0"/>
          <w:color w:val="5A6A7A"/>
          <w:sz w:val="21"/>
        </w:rPr>
        <w:tab/>
        <w:t>2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三、2028 年目标、差距与重点工作</w:t>
      </w:r>
      <w:r>
        <w:rPr>
          <w:rFonts w:ascii="Segoe UI" w:hAnsi="Segoe UI" w:eastAsia="Microsoft YaHei"/>
          <w:b w:val="0"/>
          <w:color w:val="5A6A7A"/>
          <w:sz w:val="21"/>
        </w:rPr>
        <w:tab/>
        <w:t>5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四、2029 年目标、差距与重点工作</w:t>
      </w:r>
      <w:r>
        <w:rPr>
          <w:rFonts w:ascii="Segoe UI" w:hAnsi="Segoe UI" w:eastAsia="Microsoft YaHei"/>
          <w:b w:val="0"/>
          <w:color w:val="5A6A7A"/>
          <w:sz w:val="21"/>
        </w:rPr>
        <w:tab/>
        <w:t>7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五、工作分工与需协调事项</w:t>
      </w:r>
      <w:r>
        <w:rPr>
          <w:rFonts w:ascii="Segoe UI" w:hAnsi="Segoe UI" w:eastAsia="Microsoft YaHei"/>
          <w:b w:val="0"/>
          <w:color w:val="5A6A7A"/>
          <w:sz w:val="21"/>
        </w:rPr>
        <w:tab/>
        <w:t>8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六、数据来源与有关说明</w:t>
      </w:r>
      <w:r>
        <w:rPr>
          <w:rFonts w:ascii="Segoe UI" w:hAnsi="Segoe UI" w:eastAsia="Microsoft YaHei"/>
          <w:b w:val="0"/>
          <w:color w:val="5A6A7A"/>
          <w:sz w:val="21"/>
        </w:rPr>
        <w:tab/>
        <w:t>9</w:t>
      </w:r>
    </w:p>
    <w:p>
      <w:pPr>
        <w:tabs>
          <w:tab w:pos="9411" w:val="right" w:leader="dot"/>
        </w:tabs>
        <w:spacing w:after="20" w:before="0" w:line="312" w:lineRule="auto"/>
      </w:pPr>
      <w:r>
        <w:rPr>
          <w:rFonts w:ascii="Segoe UI" w:hAnsi="Segoe UI" w:eastAsia="Microsoft YaHei"/>
          <w:b w:val="0"/>
          <w:color w:val="5A6A7A"/>
          <w:sz w:val="21"/>
        </w:rPr>
        <w:t>附录</w:t>
      </w:r>
      <w:r>
        <w:rPr>
          <w:rFonts w:ascii="Segoe UI" w:hAnsi="Segoe UI" w:eastAsia="Microsoft YaHei"/>
          <w:b w:val="0"/>
          <w:color w:val="5A6A7A"/>
          <w:sz w:val="21"/>
        </w:rPr>
        <w:tab/>
        <w:t>10</w:t>
      </w:r>
    </w:p>
    <w:p>
      <w:pPr>
        <w:pStyle w:val="Heading1"/>
      </w:pPr>
      <w:r>
        <w:t>一、基本情况与总体判断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基本情况。</w:t>
      </w:r>
      <w:r>
        <w:rPr>
          <w:rFonts w:ascii="Segoe UI" w:hAnsi="Segoe UI" w:eastAsia="Microsoft YaHei"/>
          <w:b w:val="0"/>
          <w:color w:val="2D3748"/>
          <w:sz w:val="21"/>
        </w:rPr>
        <w:t>山东科技大学 2026 年官方公布总分 226.4 分、第 140 名。按官方计分规则逐项测算，基线为 225.6 分，与官方公布值相差 0.8 分，差异原因待逐项核对后说明。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目标任务。</w:t>
      </w:r>
      <w:r>
        <w:rPr>
          <w:rFonts w:ascii="Segoe UI" w:hAnsi="Segoe UI" w:eastAsia="Microsoft YaHei"/>
          <w:b w:val="0"/>
          <w:color w:val="2D3748"/>
          <w:sz w:val="21"/>
        </w:rPr>
        <w:t>2027 年学校目标为第 123 名、目标线 238.4 分（按 2026 年分布）。本版由 7 个事项计入增分 4.71 分，测算可达 235.1～236.1 分，距目标线还差 2.3～3.3 分；另有三处核对补入单列（合计 +5.13～+5.38 分），全部计入后 240.2～241.5 分。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第 139 名分数线随同类学校整体进步逐年上移，2027 年预计为 237.8~238.4 分。本校预期可达 234.3~236.2 分，与分数线下限尚差约 1.6~3.5 分。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主要措施。</w:t>
      </w:r>
      <w:r>
        <w:rPr>
          <w:rFonts w:ascii="Segoe UI" w:hAnsi="Segoe UI" w:eastAsia="Microsoft YaHei"/>
          <w:b w:val="0"/>
          <w:color w:val="2D3748"/>
          <w:sz w:val="21"/>
        </w:rPr>
        <w:t>弥补差距的措施有三项：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一是纳入目标的事项先行落实</w:t>
            </w:r>
          </w:p>
        </w:tc>
      </w:tr>
      <w:tr>
        <w:tc>
          <w:tcPr>
            <w:tcW w:type="dxa" w:w="941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二是备选事项逐项核查后据实计入</w:t>
            </w:r>
          </w:p>
        </w:tc>
      </w:tr>
      <w:tr>
        <w:tc>
          <w:tcPr>
            <w:tcW w:type="dxa" w:w="941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三是毕业生去向落实率先行核对、保持不出现回落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长线安排以抓好正式报告编制与数据统筹为先导。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下一步工作。</w:t>
      </w:r>
      <w:r>
        <w:rPr>
          <w:rFonts w:ascii="Segoe UI" w:hAnsi="Segoe UI" w:eastAsia="Microsoft YaHei"/>
          <w:b w:val="0"/>
          <w:color w:val="2D3748"/>
          <w:sz w:val="21"/>
        </w:rPr>
        <w:t>先行开展一轮逐项核对。各部门提供现有台账与报告底稿即可，无需另行填报或统计；核对后形成学校核对版方案。</w:t>
      </w:r>
    </w:p>
    <w:p>
      <w:pPr>
        <w:pStyle w:val="Heading2"/>
      </w:pPr>
      <w:r>
        <w:t>两条工作主线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三年工作按两条主线推进：近期一条，把已经形成、但未被正确记录的价值经核对后计入；后续一条，由真实建设逐年累积。后续各年的事项均按此归类。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2 · 两条工作主线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814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主线</w:t>
            </w:r>
          </w:p>
        </w:tc>
        <w:tc>
          <w:tcPr>
            <w:tcW w:type="dxa" w:w="4876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做法</w:t>
            </w:r>
          </w:p>
        </w:tc>
        <w:tc>
          <w:tcPr>
            <w:tcW w:type="dxa" w:w="272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形成方式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近期（本版至下一版）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逐项核查与报告、统计校正：以学校实际数据逐项核对，未被正确记录的分值经核对后计入</w:t>
            </w:r>
          </w:p>
        </w:tc>
        <w:tc>
          <w:tcPr>
            <w:tcW w:type="dxa" w:w="272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当期形成，计入最近一版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后续（逐年推进）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教学、科研、师资、人才能力建设：排课、评审、招生、经费等真实增量按年度推进</w:t>
            </w:r>
          </w:p>
        </w:tc>
        <w:tc>
          <w:tcPr>
            <w:tcW w:type="dxa" w:w="272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逐年累积，作用于后续版本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本简报第二节至第四节按年度分节列示：每年先定目标，再列构成与两个差距，最后给补差路径与报告规划，顺序与专题页面一致。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基线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225.6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＋ 纳入目标增分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4.71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 xml:space="preserve"> ＝ 目标 </w:t>
            </w:r>
            <w:r>
              <w:rPr>
                <w:rFonts w:ascii="Georgia" w:hAnsi="Georgia" w:eastAsia="SimSun"/>
                <w:b/>
                <w:color w:val="FFFFFF"/>
                <w:sz w:val="24"/>
              </w:rPr>
              <w:t>230.3 分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；预期可达 234.3~236.2 分，尚差约 1.6~3.5 分。</w:t>
            </w:r>
          </w:p>
        </w:tc>
      </w:tr>
    </w:tbl>
    <w:p>
      <w:pPr>
        <w:spacing w:after="20"/>
      </w:pPr>
    </w:p>
    <w:p>
      <w:pPr>
        <w:pStyle w:val="Heading1"/>
      </w:pPr>
      <w:r>
        <w:t>二、2027 年目标、差距与重点工作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目标。</w:t>
      </w:r>
      <w:r>
        <w:rPr>
          <w:rFonts w:ascii="Segoe UI" w:hAnsi="Segoe UI" w:eastAsia="Microsoft YaHei"/>
          <w:b w:val="0"/>
          <w:color w:val="2D3748"/>
          <w:sz w:val="21"/>
        </w:rPr>
        <w:t>2027 年目标为第 139 名、230.3 分（基线 225.6 分＋计入 4.71 分）。分数线随同行整体进步上移：按近 5 年平均涨幅推算约 237.8 分、按近 3 年偏高涨幅约 240.1 分，区间上沿约 238.4 分；其中平均涨幅线即分数线区间下限。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构成。</w:t>
      </w:r>
      <w:r>
        <w:rPr>
          <w:rFonts w:ascii="Segoe UI" w:hAnsi="Segoe UI" w:eastAsia="Microsoft YaHei"/>
          <w:b w:val="0"/>
          <w:color w:val="2D3748"/>
          <w:sz w:val="21"/>
        </w:rPr>
        <w:t>预计可达自模型基线起算，逐环构成如下表；官方公布总分 226.4 分与模型基线相差的 0.8 分为基线差，待逐项核对后说明，不计入任何增分。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3 · 2027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6576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835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分值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测算基线（按官方计分规则逐项测算）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225.6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自然增长（估算，不采取新措施时随既有发展态势的变化）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+4~+5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逐项核查计入（纳入目标七项）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+4.71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备选事项全额（上限口径，逐项核查后据实计入）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+0.88</w:t>
            </w:r>
          </w:p>
        </w:tc>
      </w:tr>
      <w:tr>
        <w:tc>
          <w:tcPr>
            <w:tcW w:type="dxa" w:w="6576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2027 年预计可达</w:t>
            </w:r>
          </w:p>
        </w:tc>
        <w:tc>
          <w:tcPr>
            <w:tcW w:type="dxa" w:w="2835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234.3~236.2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两个差距分开看：一是进带差，预计可达尚未进入分数线区间，上限距区间下限还差约 1.6 分、下限还差约 3.5 分；二是动态差，按平均涨幅线计，还差约 1.6~3.5 分。动态差不调低目标，转为下一环节需追加的提升。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补差路径（近期主线）。</w:t>
      </w:r>
      <w:r>
        <w:rPr>
          <w:rFonts w:ascii="Segoe UI" w:hAnsi="Segoe UI" w:eastAsia="Microsoft YaHei"/>
          <w:b w:val="0"/>
          <w:color w:val="2D3748"/>
          <w:sz w:val="21"/>
        </w:rPr>
        <w:t>纳入目标七项计入 4.71 分已计入目标；进带尚差 3.5 分，备选事项三项全额 +0.88 分，逐项核查后据实计入，可补足尚差的大部分。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另有备选事项 4 项（研本比（研究生与本科生人数之比）、教师学历结构、国家科研项目（师均）、高端人才（师均）），待学校底稿核对后确定，估算 +0.5~12.4 分，不计入合计。下表十项已逐项列明测算结果，核对状态见附录 A1；纳入目标项与备选事项分开列示。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4 · 2027 年逐项核查十项：纳入目标项与备选事项（单位：分）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1814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170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现状值 → 目标值</w:t>
            </w:r>
          </w:p>
        </w:tc>
        <w:tc>
          <w:tcPr>
            <w:tcW w:type="dxa" w:w="680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计入目标（分）</w:t>
            </w:r>
          </w:p>
        </w:tc>
        <w:tc>
          <w:tcPr>
            <w:tcW w:type="dxa" w:w="680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全额（分）</w:t>
            </w:r>
          </w:p>
        </w:tc>
        <w:tc>
          <w:tcPr>
            <w:tcW w:type="dxa" w:w="794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工作主线</w:t>
            </w:r>
          </w:p>
        </w:tc>
        <w:tc>
          <w:tcPr>
            <w:tcW w:type="dxa" w:w="3742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主要措施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教授授课率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11.7% → 16.8%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+0.98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+0.98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排课调整 · 学校可控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科创竞赛奖（生均折合数）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0.0053 → 0.0065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+0.82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+0.82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名单归集 · 新获奖待落点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教师职称结构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48.1% → 51.8%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+0.80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+0.80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台账归真 · 学校可控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科研经费（总额）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0.137 亿元 → 3.75 亿元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+0.70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+0.70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口径归真 · 待决算核对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授课教授比例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93.3% → 99.4%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+0.61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+0.61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台账归真 · 学校可控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0.62 万元 → 5.84 万元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+0.39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+0.60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口径归真 · 待决算核对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科创竞赛奖（折合数）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203 → 233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+0.41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+0.41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名单归集 · 新获奖待落点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师生比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0.0573 → 0.0604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+0.29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高基表核对 · 半可控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国际合作论文比例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18.4% → 21.5%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+0.27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Scopus 核查 · 半可控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留学生比例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0.96% → 1.12%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+0.11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近期 · 逐项核查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留学生台账核对 · 半可控</w:t>
            </w:r>
          </w:p>
        </w:tc>
      </w:tr>
      <w:tr>
        <w:tc>
          <w:tcPr>
            <w:tcW w:type="dxa" w:w="1814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十项合计</w:t>
            </w:r>
          </w:p>
        </w:tc>
        <w:tc>
          <w:tcPr>
            <w:tcW w:type="dxa" w:w="170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—</w:t>
            </w:r>
          </w:p>
        </w:tc>
        <w:tc>
          <w:tcPr>
            <w:tcW w:type="dxa" w:w="680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+4.71</w:t>
            </w:r>
          </w:p>
        </w:tc>
        <w:tc>
          <w:tcPr>
            <w:tcW w:type="dxa" w:w="680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+5.59</w:t>
            </w:r>
          </w:p>
        </w:tc>
        <w:tc>
          <w:tcPr>
            <w:tcW w:type="dxa" w:w="794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—</w:t>
            </w:r>
          </w:p>
        </w:tc>
        <w:tc>
          <w:tcPr>
            <w:tcW w:type="dxa" w:w="3742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纳入目标七项合计 +4.71 分、目标 230.3 分；备选事项全额 +0.88 分；十项全部落实 231.2 分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需追加的提升。</w:t>
      </w:r>
      <w:r>
        <w:rPr>
          <w:rFonts w:ascii="Segoe UI" w:hAnsi="Segoe UI" w:eastAsia="Microsoft YaHei"/>
          <w:b w:val="0"/>
          <w:color w:val="2D3748"/>
          <w:sz w:val="21"/>
        </w:rPr>
        <w:t>拟追加 +3.5 分（未计入预计可达，已选定）。补差来源（按可实现性分档）：先用已定档备选事项 +0.84～+0.92 分；研本比（半可控，涉及招生计划）空间 +0.11～+4.24 分单列研判，不作补差来源计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按第 123 名目标（官方口径）：预计可达 235.1～236.1 分，对第 123 名线（238.4 分）还差 2.3～3.3 分；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核对补口三处合计 +5.13～+5.38 分（落实率口径更正条件性 +3.00、经费更正净增厚 +1.40、备选事项转入 +0.88），全部计入后 240.2～241.5 分、对第 123 名线余量 +1.8～+3.1 分；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同段涨幅推算的第 123 名分数线为低普涨 243.8 分、平均 245.9 分、偏高 248.2 分，补口全部落实仍差约 2.3～3.6 分（低普涨）、4.4～5.7 分（平均）、6.7～8.0 分（偏高）；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高端人才（师均）另有理论空间 +3.12 分（同类前 10% 档），未作达线依据；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需追加提升未计入本年预计可达。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补差路径（后续主线）。</w:t>
      </w:r>
      <w:r>
        <w:rPr>
          <w:rFonts w:ascii="Segoe UI" w:hAnsi="Segoe UI" w:eastAsia="Microsoft YaHei"/>
          <w:b w:val="0"/>
          <w:color w:val="2D3748"/>
          <w:sz w:val="21"/>
        </w:rPr>
        <w:t>后续主线在本年同步启动、不计入本年：各项长期建设安排随 2028、2029 年安排逐年落实（见第三节、第四节），增量作用于后续版本。</w:t>
      </w:r>
    </w:p>
    <w:p>
      <w:pPr>
        <w:pStyle w:val="Heading2"/>
      </w:pPr>
      <w:r>
        <w:t>自然增长情况（不计入目标，计入预期测算）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自然增长，指不采取新的专项措施时，随学校既有发展态势带来的分数变化。不采取任何新行动，学校总分也会随既有发展态势自然变化，2027 版估算为 +4~+5 分。它只计入预期测算，不计入目标，目标与预期分开列示。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估算依据为基年公开数据：第一轮核查 核查材料核定依据链：①论文存量复利——Nature Index 自然科学 Share 2023 年 6.57→2025 年 15.13（两年 +130%，已剔除期刊扩容口径影响，总 Share 2025 年 46.96。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较 2024 年高点 50.69 回落 7.4%），ESI 6 个学科进全球前 1%、其中工程学与数学进前 1‰（2024-06 口径），环境科学与生态学达前 1% 阈值约九成（2025-11 期数据，第三方分析）。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②研究生劳动力——在校研究生 2018 年约 7,039 人→2023 年 10,586 人→最新 11,600 余人，本科生同期微降。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③经费动量——2024 年科研经费实到 4.86 亿元、立项 2,053 项合同经费 7.32 亿元、NSFC 获批 123 项。定档 +4～+5（同段平均涨幅线 +5.4 之下沿、通用缺省之上）：动量高于同段平均有据。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但 Nature Index 总量已现平台化、项目线逐年官方汇总公开渠道不可得、实际总分路径波动（2025 年 +8.7、2026 年 −3.5，且 2026 年含经费与就业记录异常拖累），不到偏高档 +8.3。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每年新版发布前，以新的公开数据滚动复核。</w:t>
      </w:r>
    </w:p>
    <w:p>
      <w:pPr>
        <w:pStyle w:val="Heading2"/>
      </w:pPr>
      <w:r>
        <w:t>需先行核对事项：毕业生去向落实率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本校 2027 年重点工作中无单独列示的需先行核对事项；就业数据随毕业生就业质量报告逐项核对。</w:t>
      </w:r>
    </w:p>
    <w:p>
      <w:pPr>
        <w:pStyle w:val="Heading2"/>
        <w:pBdr>
          <w:left w:val="single" w:sz="24" w:color="A5813F" w:space="8"/>
        </w:pBdr>
        <w:ind w:left="198"/>
      </w:pPr>
      <w:r>
        <w:rPr>
          <w:rFonts w:ascii="Georgia" w:hAnsi="Georgia" w:eastAsia="SimSun"/>
          <w:b/>
          <w:color w:val="2D3748"/>
          <w:sz w:val="25"/>
        </w:rPr>
        <w:t>抓好正式报告编制与数据统筹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学校正式报告与法定统计是多项指标的数据来源：口径在编制期先行评审、写进正式文本，发布后即为各方共同依据。软科方法页对数据缺失另有处理规则：缺失时依次采用旧版数据，再缺失按同类同省学校最小值替代——报告按时、按统一口径发布，本身就是保持分数稳定的前提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本版（2027）涉及的报告与统计均已发布，下表为对已发布数的核对确认；自下一版起，正式报告编制转入编制期统筹安排，逐年规划见第三节、第四节各年的报告规划表。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5 · 本版已发布报告与统计的核对状态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04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报告与统计</w:t>
            </w:r>
          </w:p>
        </w:tc>
        <w:tc>
          <w:tcPr>
            <w:tcW w:type="dxa" w:w="238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涉及指标</w:t>
            </w:r>
          </w:p>
        </w:tc>
        <w:tc>
          <w:tcPr>
            <w:tcW w:type="dxa" w:w="204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责任部门</w:t>
            </w:r>
          </w:p>
        </w:tc>
        <w:tc>
          <w:tcPr>
            <w:tcW w:type="dxa" w:w="2948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核对状态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本科教学质量报告</w:t>
            </w:r>
          </w:p>
        </w:tc>
        <w:tc>
          <w:tcPr>
            <w:tcW w:type="dxa" w:w="238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教授授课率、授课教授比例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教务处</w:t>
            </w:r>
          </w:p>
        </w:tc>
        <w:tc>
          <w:tcPr>
            <w:tcW w:type="dxa" w:w="294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2023–2024 学年版已发布（2024-12-05），2024–2025 学年版未发布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毕业生就业质量报告</w:t>
            </w:r>
          </w:p>
        </w:tc>
        <w:tc>
          <w:tcPr>
            <w:tcW w:type="dxa" w:w="238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学生工作部 · 就业指导中心</w:t>
            </w:r>
          </w:p>
        </w:tc>
        <w:tc>
          <w:tcPr>
            <w:tcW w:type="dxa" w:w="294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原文未取得（多渠道检索无果）；2024 届关键值已由本科教学质量报告原文取得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部门决算／科技统计年报</w:t>
            </w:r>
          </w:p>
        </w:tc>
        <w:tc>
          <w:tcPr>
            <w:tcW w:type="dxa" w:w="238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科研经费（师均）、科研经费（总额）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科学技术处</w:t>
            </w:r>
          </w:p>
        </w:tc>
        <w:tc>
          <w:tcPr>
            <w:tcW w:type="dxa" w:w="294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部门决算已发布并取得总盘；科技统计年报原文未公开，经费口径待提报表终核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/>
                <w:color w:val="FFFFFF"/>
                <w:sz w:val="21"/>
              </w:rPr>
              <w:t>2027 年：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预计可达 234.3~236.2 分；距分数线区间下限尚差约 1.6~3.5 分，备选事项全额 +0.88 分，可补足尚差的大部分。</w:t>
            </w:r>
          </w:p>
        </w:tc>
      </w:tr>
    </w:tbl>
    <w:p>
      <w:pPr>
        <w:spacing w:after="20"/>
      </w:pPr>
    </w:p>
    <w:p>
      <w:pPr>
        <w:pStyle w:val="Heading1"/>
      </w:pPr>
      <w:r>
        <w:t>三、2028 年目标、差距与重点工作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目标。</w:t>
      </w:r>
      <w:r>
        <w:rPr>
          <w:rFonts w:ascii="Segoe UI" w:hAnsi="Segoe UI" w:eastAsia="Microsoft YaHei"/>
          <w:b w:val="0"/>
          <w:color w:val="2D3748"/>
          <w:sz w:val="21"/>
        </w:rPr>
        <w:t>2028 年目标为约第 139 名（按 2026 年官方分数分布测算）、230.3 分，自基线累计计入 +4.71 分。分数线逐年外推：平均涨幅线约 245.3 分、偏高涨幅线约 249.9 分、上沿约 246.5 分。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构成。</w:t>
      </w:r>
      <w:r>
        <w:rPr>
          <w:rFonts w:ascii="Segoe UI" w:hAnsi="Segoe UI" w:eastAsia="Microsoft YaHei"/>
          <w:b w:val="0"/>
          <w:color w:val="2D3748"/>
          <w:sz w:val="21"/>
        </w:rPr>
        <w:t>上年预计可达结转，本年计入 +0.00 分（逐项见附录 A1），构成如下表；另保持 2027 年已确定的 +1.72 分不回落，不计入本年增分。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· 2028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6576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835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分值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2027 年预计可达（结转）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234.3~236.2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自然增长（估算）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+4~+5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本年计入 · 行动事项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2028 年预计可达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238.3~241.2</w:t>
            </w:r>
          </w:p>
        </w:tc>
      </w:tr>
      <w:tr>
        <w:tc>
          <w:tcPr>
            <w:tcW w:type="dxa" w:w="6576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另：保持 2027 年已确定（不计入本年）</w:t>
            </w:r>
          </w:p>
        </w:tc>
        <w:tc>
          <w:tcPr>
            <w:tcW w:type="dxa" w:w="2835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+1.72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两个差距分开看：一是与目标的关系，预计可达下限 238.3 分已高于目标 230.3 分（按 2026 年官方分数分布测算），按测算可达到该目标；二是动态差，按平均涨幅线计，还差约 4.1~7.0 分。动态差不调低目标，转为下一环节需追加的提升。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补差路径（近期主线）。</w:t>
      </w:r>
      <w:r>
        <w:rPr>
          <w:rFonts w:ascii="Segoe UI" w:hAnsi="Segoe UI" w:eastAsia="Microsoft YaHei"/>
          <w:b w:val="0"/>
          <w:color w:val="2D3748"/>
          <w:sz w:val="21"/>
        </w:rPr>
        <w:t>本年计入中，逐项核查与报告、统计校正类共 +0.00 分。其中经正式报告与统计在编制期确定的 +0.00 分，逐项规划见本节末报告规划表。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近期主线逐项：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7710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事项</w:t>
            </w:r>
          </w:p>
        </w:tc>
        <w:tc>
          <w:tcPr>
            <w:tcW w:type="dxa" w:w="1701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计入（分）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本科毕业生深造率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需追加的提升。</w:t>
      </w:r>
      <w:r>
        <w:rPr>
          <w:rFonts w:ascii="Segoe UI" w:hAnsi="Segoe UI" w:eastAsia="Microsoft YaHei"/>
          <w:b w:val="0"/>
          <w:color w:val="2D3748"/>
          <w:sz w:val="21"/>
        </w:rPr>
        <w:t>动态差转为需追加的提升：拟追加 +7.0 分（未计入预计可达，已选定），来源为尚未纳入目标、提升空间较大的指标达到同类学校前 10% 水平可增加的分值：研本比 +4.24、高端人才（师均） +3.12，合计 +7.36 分。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全额落实后预计可达约 245.3~248.2 分，达到平均涨幅线。</w:t>
      </w:r>
    </w:p>
    <w:p>
      <w:pPr>
        <w:pStyle w:val="Heading2"/>
        <w:pBdr>
          <w:left w:val="single" w:sz="24" w:color="A5813F" w:space="8"/>
        </w:pBdr>
        <w:ind w:left="198"/>
      </w:pPr>
      <w:r>
        <w:rPr>
          <w:rFonts w:ascii="Georgia" w:hAnsi="Georgia" w:eastAsia="SimSun"/>
          <w:b/>
          <w:color w:val="2D3748"/>
          <w:sz w:val="25"/>
        </w:rPr>
        <w:t>抓好正式报告编制与数据统筹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2028 年正式报告与统计在编制期按下表规划：每项给出现值与目标值、预计分值与主要安排；已确定事项以保持为主，新增事项在本年编制期定值。各组分数只计一次：本年新增 +0.00 分已含在上方构成内。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· 2028 年报告与统计规划（按正式报告与统计分组）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494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204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现值 → 目标值</w:t>
            </w:r>
          </w:p>
        </w:tc>
        <w:tc>
          <w:tcPr>
            <w:tcW w:type="dxa" w:w="794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预计分值（分）</w:t>
            </w:r>
          </w:p>
        </w:tc>
        <w:tc>
          <w:tcPr>
            <w:tcW w:type="dxa" w:w="4082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主要安排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毕业生就业质量报告 · 每年 11–12 月编制 · 12 月 31 日前发布 · 学生工作部 · 就业指导中心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本科毕业生毕业去向落实率（先行核对 · 不计入）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平台 74.71% · 报告口径待学校提供后核定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本科毕业生深造率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40.89% → 40.89%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本科教学质量报告 · 学年报告 · 按本校往年节奏，编制期介入 · 教务处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2 项 · 守住现值：授课教授比例 93.32%；教授授课率 11.7%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教育事业统计（高基表）与学校正式发布 · 时点 9 月 1 日 · 10 月 15 日前报送 · 人事处 · 发展规划处（统筹） · 国际交流合作处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教师职称结构（2027 年已计入 +1.33 · 本年保持）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48.07% → 58.02%（保持）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10 项 · 守住现值：教师学历结构 70.63%；教师规模 2,203；研本比 0.2453；本专比 1；师生比 0.0573；留学生比例 0.96%；硕士点数 55；博士点数 12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国家级与认证专业（总数） 195；国家级与认证专业精度 2.074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部门决算与财务公开 · 6 月编制对口径 · 8 月公开 · 科学技术处 · 财务处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科研经费（师均）（2027 年已计入 +0.39 · 本年保持）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0.6219 → 5.844（保持）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4 项 · 守住现值：学校收入（总额） 26.94；学校收入（生均） 7.006；科研经费（总额） 0.137；科研人员规模（折合数） 6,612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基金会年报与捐赠入账记录 · 随年度审计发布 · 校友工作部 · 教育发展基金会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1 项 · 守住现值：社会捐赠收入（总额） 643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平台与专业认定名单归集 · 随主管部门公布滚动更新 · 科学技术处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2 项 · 守住现值：科研平台（折合数） 210；科研平台（师均折合数） 0.0939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/>
                <w:color w:val="FFFFFF"/>
                <w:sz w:val="21"/>
              </w:rPr>
              <w:t>2028 年：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预计可达 238.3~241.2 分；对平均涨幅线还差约 4.1~7.0 分，需追加的提升 +7.0 分全额落实可达到平均线。</w:t>
            </w:r>
          </w:p>
        </w:tc>
      </w:tr>
    </w:tbl>
    <w:p>
      <w:pPr>
        <w:spacing w:after="20"/>
      </w:pPr>
    </w:p>
    <w:p>
      <w:pPr>
        <w:pStyle w:val="Heading1"/>
      </w:pPr>
      <w:r>
        <w:t>四、2029 年目标、差距与重点工作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目标。</w:t>
      </w:r>
      <w:r>
        <w:rPr>
          <w:rFonts w:ascii="Segoe UI" w:hAnsi="Segoe UI" w:eastAsia="Microsoft YaHei"/>
          <w:b w:val="0"/>
          <w:color w:val="2D3748"/>
          <w:sz w:val="21"/>
        </w:rPr>
        <w:t>2029 年目标为约第 137 名（按 2026 年官方分数分布测算）、231.2 分，自基线累计计入 +5.56 分。分数线逐年外推：平均涨幅线约 253.7 分、偏高涨幅线约 260.6 分、上沿约 255.5 分。涨幅线逐年外推，测算年份越远、不确定性越大，本年数字仅作规划参照。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构成。</w:t>
      </w:r>
      <w:r>
        <w:rPr>
          <w:rFonts w:ascii="Segoe UI" w:hAnsi="Segoe UI" w:eastAsia="Microsoft YaHei"/>
          <w:b w:val="0"/>
          <w:color w:val="2D3748"/>
          <w:sz w:val="21"/>
        </w:rPr>
        <w:t>上年预计可达结转，本年计入 +0.85 分（逐项见附录 A1），构成如下表。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· 2029 年分数构成（单位：分）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6576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835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分值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2028 年预计可达（结转）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238.3~241.2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自然增长（外推估算，置信度低于前两年）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+4~+5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本年计入 · 经正式报告与统计确定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+0.85</w:t>
            </w:r>
          </w:p>
        </w:tc>
      </w:tr>
      <w:tr>
        <w:tc>
          <w:tcPr>
            <w:tcW w:type="dxa" w:w="65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本年计入 · 其余行动</w:t>
            </w:r>
          </w:p>
        </w:tc>
        <w:tc>
          <w:tcPr>
            <w:tcW w:type="dxa" w:w="2835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  <w:tr>
        <w:tc>
          <w:tcPr>
            <w:tcW w:type="dxa" w:w="6576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2029 年预计可达</w:t>
            </w:r>
          </w:p>
        </w:tc>
        <w:tc>
          <w:tcPr>
            <w:tcW w:type="dxa" w:w="2835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243.2~247.0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差距。</w:t>
      </w:r>
      <w:r>
        <w:rPr>
          <w:rFonts w:ascii="Segoe UI" w:hAnsi="Segoe UI" w:eastAsia="Microsoft YaHei"/>
          <w:b w:val="0"/>
          <w:color w:val="2D3748"/>
          <w:sz w:val="21"/>
        </w:rPr>
        <w:t>两个差距分开看：一是与目标的关系，预计可达下限 243.2 分已高于目标 231.2 分（按 2026 年官方分数分布测算），按测算可达到该目标；二是动态差，按平均涨幅线计，还差约 6.7~10.5 分。动态差不调低目标，转为下一环节需追加的提升。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补差路径（近期主线）。</w:t>
      </w:r>
      <w:r>
        <w:rPr>
          <w:rFonts w:ascii="Segoe UI" w:hAnsi="Segoe UI" w:eastAsia="Microsoft YaHei"/>
          <w:b w:val="0"/>
          <w:color w:val="2D3748"/>
          <w:sz w:val="21"/>
        </w:rPr>
        <w:t>本年计入中，逐项核查与报告、统计校正类共 +0.85 分。其中经正式报告与统计在编制期确定的 +0.85 分，逐项规划见本节末报告规划表。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近期主线逐项：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blHeader w:val="true"/>
        </w:trPr>
        <w:tc>
          <w:tcPr>
            <w:tcW w:type="dxa" w:w="7710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事项</w:t>
            </w:r>
          </w:p>
        </w:tc>
        <w:tc>
          <w:tcPr>
            <w:tcW w:type="dxa" w:w="1701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计入（分）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国家级与认证专业精度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+0.64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+0.21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本科毕业生深造率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教授授课率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科研经费（总额）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  <w:tr>
        <w:tc>
          <w:tcPr>
            <w:tcW w:type="dxa" w:w="771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授课教授比例</w:t>
            </w:r>
          </w:p>
        </w:tc>
        <w:tc>
          <w:tcPr>
            <w:tcW w:type="dxa" w:w="170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需追加的提升。</w:t>
      </w:r>
      <w:r>
        <w:rPr>
          <w:rFonts w:ascii="Segoe UI" w:hAnsi="Segoe UI" w:eastAsia="Microsoft YaHei"/>
          <w:b w:val="0"/>
          <w:color w:val="2D3748"/>
          <w:sz w:val="21"/>
        </w:rPr>
        <w:t>拟追加 +10.5 分（未计入预计可达，方向性安排，名单随每年新数据滚动调整）。补差来源（按可实现性分档）：以已定档备选事项与备选事项滚动落实为主；研本比等结构项单列研判，不作补差来源计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三年安排与学校「811」双峰对位：与双峰直接相关的事项——科研经费两项（计入，属核对更正）、国家科研项目与高端人才（备选，空间主要由双峰与矿业学科贡献）、国家重大奖励（后续年度滚动计入）；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职称结构、教授授课率等全校台账类事项不分学科、全校统一核对。</w:t>
      </w:r>
    </w:p>
    <w:p>
      <w:pPr>
        <w:pStyle w:val="Heading2"/>
        <w:pBdr>
          <w:left w:val="single" w:sz="24" w:color="A5813F" w:space="8"/>
        </w:pBdr>
        <w:ind w:left="198"/>
      </w:pPr>
      <w:r>
        <w:rPr>
          <w:rFonts w:ascii="Georgia" w:hAnsi="Georgia" w:eastAsia="SimSun"/>
          <w:b/>
          <w:color w:val="2D3748"/>
          <w:sz w:val="25"/>
        </w:rPr>
        <w:t>抓好正式报告编制与数据统筹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2029 年正式报告与统计在编制期按下表规划：每项给出现值与目标值、预计分值与主要安排；已确定事项以保持为主，新增事项在本年编制期定值。各组分数只计一次：本年新增 +0.85 分已含在上方构成内。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· 2029 年报告与统计规划（按正式报告与统计分组）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494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指标</w:t>
            </w:r>
          </w:p>
        </w:tc>
        <w:tc>
          <w:tcPr>
            <w:tcW w:type="dxa" w:w="204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现值 → 目标值</w:t>
            </w:r>
          </w:p>
        </w:tc>
        <w:tc>
          <w:tcPr>
            <w:tcW w:type="dxa" w:w="794"/>
            <w:shd w:val="clear" w:fill="0D1A39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预计分值（分）</w:t>
            </w:r>
          </w:p>
        </w:tc>
        <w:tc>
          <w:tcPr>
            <w:tcW w:type="dxa" w:w="4082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主要安排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毕业生就业质量报告 · 每年 11–12 月编制 · 12 月 31 日前发布 · 学生工作部 · 就业指导中心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本科毕业生毕业去向落实率（先行核对 · 不计入）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平台 74.71% · 报告口径待学校提供后核定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—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本科毕业生深造率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40.89% → 40.89%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本科教学质量报告 · 学年报告 · 按本校往年节奏，编制期介入 · 教务处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授课教授比例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99.45% → 99.45%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教授授课率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16.84% → 16.84%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教育事业统计（高基表）与学校正式发布 · 时点 9 月 1 日 · 10 月 15 日前报送 · 人事处 · 发展规划处（统筹） · 国际交流合作处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国家级与认证专业精度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2.074 → 2.417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+0.64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10 项 · 守住现值：教师职称结构 48.07%；教师学历结构 70.63%；教师规模 2,203；研本比 0.2453；本专比 1；师生比 0.0573；留学生比例 0.96%；硕士点数 55；博士点数 12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国家级与认证专业（总数） 195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部门决算与财务公开 · 6 月编制对口径 · 8 月公开 · 科学技术处 · 财务处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科研经费（总额）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3.721 → 3.721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+0.00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科研经费（师均）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0.6219 → 24.28</w:t>
            </w:r>
          </w:p>
        </w:tc>
        <w:tc>
          <w:tcPr>
            <w:tcW w:type="dxa" w:w="794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+0.21</w:t>
            </w:r>
          </w:p>
        </w:tc>
        <w:tc>
          <w:tcPr>
            <w:tcW w:type="dxa" w:w="408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按时完整发布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3 项 · 守住现值：学校收入（总额） 26.94；学校收入（生均） 7.006；科研人员规模（折合数） 6,612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基金会年报与捐赠入账记录 · 随年度审计发布 · 校友工作部 · 教育发展基金会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1 项 · 守住现值：社会捐赠收入（总额） 643</w:t>
            </w:r>
          </w:p>
        </w:tc>
      </w:tr>
      <w:tr>
        <w:tc>
          <w:tcPr>
            <w:tcW w:type="dxa" w:w="4082"/>
            <w:gridSpan w:val="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9"/>
              </w:rPr>
              <w:t>平台与专业认定名单归集 · 随主管部门公布滚动更新 · 科学技术处</w:t>
            </w:r>
          </w:p>
        </w:tc>
      </w:tr>
      <w:tr>
        <w:tc>
          <w:tcPr>
            <w:tcW w:type="dxa" w:w="4082"/>
            <w:gridSpan w:val="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另 2 项 · 守住现值：科研平台（折合数） 210；科研平台（师均折合数） 0.0939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fill="0D1A39"/>
          </w:tcPr>
          <w:p>
            <w:pPr>
              <w:spacing w:after="60" w:before="60"/>
            </w:pPr>
            <w:r/>
            <w:r>
              <w:rPr>
                <w:rFonts w:ascii="Segoe UI" w:hAnsi="Segoe UI" w:eastAsia="Microsoft YaHei"/>
                <w:b/>
                <w:color w:val="FFFFFF"/>
                <w:sz w:val="21"/>
              </w:rPr>
              <w:t>2029 年：</w:t>
            </w:r>
            <w:r>
              <w:rPr>
                <w:rFonts w:ascii="Segoe UI" w:hAnsi="Segoe UI" w:eastAsia="Microsoft YaHei"/>
                <w:b w:val="0"/>
                <w:color w:val="FFFFFF"/>
                <w:sz w:val="21"/>
              </w:rPr>
              <w:t>预计可达 243.2~247.0 分；对平均涨幅线还差约 6.7~10.5 分，需追加的提升 +10.5 分全额落实可达到平均线。</w:t>
            </w:r>
          </w:p>
        </w:tc>
      </w:tr>
    </w:tbl>
    <w:p>
      <w:pPr>
        <w:spacing w:after="20"/>
      </w:pPr>
    </w:p>
    <w:p>
      <w:pPr>
        <w:pStyle w:val="Heading1"/>
      </w:pPr>
      <w:r>
        <w:t>五、工作分工与需协调事项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2D3748"/>
          <w:sz w:val="21"/>
        </w:rPr>
        <w:t>本节按部门列出需提供的现有材料，均为台账与报告底稿，无需另行填报或统计。有关口径由发展规划处统筹把握；先行自查并列出差异后，再请各部门确认。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6 · 各部门需提供材料清单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041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部门</w:t>
            </w:r>
          </w:p>
        </w:tc>
        <w:tc>
          <w:tcPr>
            <w:tcW w:type="dxa" w:w="3742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请提供材料</w:t>
            </w:r>
          </w:p>
        </w:tc>
        <w:tc>
          <w:tcPr>
            <w:tcW w:type="dxa" w:w="3628"/>
            <w:shd w:val="clear" w:fill="0D1A3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FFFFFF"/>
                <w:sz w:val="19"/>
              </w:rPr>
              <w:t>对应事项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发展规划处（统筹）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汇总协调，不另备材料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全校核对统筹；基线差异 0.8 分逐项归因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人事处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教师职称结构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教务处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教授授课率、授课教授比例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团委 · 创新创业学院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科创竞赛奖（生均折合数）、科创竞赛奖（折合数）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科学技术处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科研经费（师均）、科研经费（总额）、国际合作论文比例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9"/>
              </w:rPr>
              <w:t>国际交流合作处</w:t>
            </w:r>
          </w:p>
        </w:tc>
        <w:tc>
          <w:tcPr>
            <w:tcW w:type="dxa" w:w="3742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对应事项的现有台账与报告底稿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9"/>
              </w:rPr>
              <w:t>留学生比例</w:t>
            </w:r>
          </w:p>
        </w:tc>
      </w:tr>
    </w:tbl>
    <w:p>
      <w:pPr>
        <w:pStyle w:val="Heading1"/>
      </w:pPr>
      <w:r>
        <w:t>六、数据来源与有关说明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测算基线。</w:t>
      </w:r>
      <w:r>
        <w:rPr>
          <w:rFonts w:ascii="Segoe UI" w:hAnsi="Segoe UI" w:eastAsia="Microsoft YaHei"/>
          <w:b w:val="0"/>
          <w:color w:val="2D3748"/>
          <w:sz w:val="21"/>
        </w:rPr>
        <w:t>本简报全部增分只从模型基线 225.6 分起算，不与官方 226.4 分直接相加。0.8 分差异待学校提供统计底稿后逐项核对，落实到具体指标后另出学校核对版。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逐年测算口径。</w:t>
      </w:r>
      <w:r>
        <w:rPr>
          <w:rFonts w:ascii="Segoe UI" w:hAnsi="Segoe UI" w:eastAsia="Microsoft YaHei"/>
          <w:b w:val="0"/>
          <w:color w:val="2D3748"/>
          <w:sz w:val="21"/>
        </w:rPr>
        <w:t>预计可达逐年滚动测算：上年预计可达＋自然增长＋本年计入增分；目标分数线以 2026 年目标名次分数为起点、按同名次段学校涨幅逐年外推（近 5 年年均 +7.5 分、近 3 年年均 +9.8 分、同段中位 +8.1 分），年份越远、不确定性越大，仅作规划参照。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需追加的提升口径。</w:t>
      </w:r>
      <w:r>
        <w:rPr>
          <w:rFonts w:ascii="Segoe UI" w:hAnsi="Segoe UI" w:eastAsia="Microsoft YaHei"/>
          <w:b w:val="0"/>
          <w:color w:val="2D3748"/>
          <w:sz w:val="21"/>
        </w:rPr>
        <w:t>首年需追加的提升来源按可实现性分档选定（见第二节），理论空间未作达线依据；其余年份需追加的提升取自尚未纳入目标、提升空间较大的指标，按达到同类学校前 10% 水平可增加的分值计。需追加的提升均未计入预计可达。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名次换算。</w:t>
      </w:r>
      <w:r>
        <w:rPr>
          <w:rFonts w:ascii="Segoe UI" w:hAnsi="Segoe UI" w:eastAsia="Microsoft YaHei"/>
          <w:b w:val="0"/>
          <w:color w:val="2D3748"/>
          <w:sz w:val="21"/>
        </w:rPr>
        <w:t>文中名次均为按 2026 年官方分数分布测算的结果，仅供参考；分数增减以逐项核查结果为准。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数据来源。</w:t>
      </w:r>
      <w:r>
        <w:rPr>
          <w:rFonts w:ascii="Segoe UI" w:hAnsi="Segoe UI" w:eastAsia="Microsoft YaHei"/>
          <w:b w:val="0"/>
          <w:color w:val="2D3748"/>
          <w:sz w:val="21"/>
        </w:rPr>
        <w:t>计分规则与指标定义以软科公开方法为准；本校现值以学校正式发布报告与公开渠道逐项核查。逐项核查材料共 89 条，逐项状态见附录 A4；指标分类与 2028、2029 年行动事项为按规则初步拟定，尚未逐项核查。测算由 mShare 提供技术支持。</w:t>
      </w:r>
    </w:p>
    <w:p>
      <w:pPr>
        <w:spacing w:after="80" w:before="0" w:line="324" w:lineRule="auto"/>
      </w:pPr>
      <w:r>
        <w:rPr>
          <w:rFonts w:ascii="Segoe UI" w:hAnsi="Segoe UI" w:eastAsia="Microsoft YaHei"/>
          <w:b/>
          <w:color w:val="2D3748"/>
          <w:sz w:val="21"/>
        </w:rPr>
        <w:t>更新说明。</w:t>
      </w:r>
      <w:r>
        <w:rPr>
          <w:rFonts w:ascii="Segoe UI" w:hAnsi="Segoe UI" w:eastAsia="Microsoft YaHei"/>
          <w:b w:val="0"/>
          <w:color w:val="2D3748"/>
          <w:sz w:val="21"/>
        </w:rPr>
        <w:t>数据截至 2026 年 11 月。专题页面更新后以页面为准，本简报同步出新版。本简报为诊断简报的深化落实版，逐项数据以本简报为准。</w:t>
      </w:r>
    </w:p>
    <w:p>
      <w:pPr>
        <w:spacing w:after="80" w:before="120" w:line="324" w:lineRule="auto"/>
      </w:pPr>
      <w:r>
        <w:rPr>
          <w:rFonts w:ascii="Segoe UI" w:hAnsi="Segoe UI" w:eastAsia="Microsoft YaHei"/>
          <w:b w:val="0"/>
          <w:color w:val="5A6A7A"/>
          <w:sz w:val="19"/>
        </w:rPr>
        <w:t>2026 年 11 月 4 日</w:t>
      </w:r>
    </w:p>
    <w:p>
      <w:r>
        <w:br w:type="page"/>
      </w:r>
    </w:p>
    <w:p>
      <w:pPr>
        <w:pStyle w:val="Heading1"/>
      </w:pPr>
      <w:r>
        <w:t>附录</w:t>
      </w:r>
    </w:p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5A6A7A"/>
          <w:sz w:val="19"/>
        </w:rPr>
        <w:t>附录供查对，不计入主体页数；所列数字与正文一致。</w:t>
      </w:r>
    </w:p>
    <w:p>
      <w:pPr>
        <w:pStyle w:val="Heading2"/>
      </w:pPr>
      <w:r>
        <w:t>A1 · 逐项测算明细（三年）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A1-1 · 2027 年逐项核查十项全表（单位：分）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45"/>
        <w:gridCol w:w="1345"/>
        <w:gridCol w:w="1345"/>
        <w:gridCol w:w="1345"/>
        <w:gridCol w:w="1345"/>
        <w:gridCol w:w="1345"/>
        <w:gridCol w:w="1345"/>
      </w:tblGrid>
      <w:tr>
        <w:trPr>
          <w:tblHeader w:val="true"/>
        </w:trPr>
        <w:tc>
          <w:tcPr>
            <w:tcW w:type="dxa" w:w="1928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</w:t>
            </w:r>
          </w:p>
        </w:tc>
        <w:tc>
          <w:tcPr>
            <w:tcW w:type="dxa" w:w="1077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现值</w:t>
            </w:r>
          </w:p>
        </w:tc>
        <w:tc>
          <w:tcPr>
            <w:tcW w:type="dxa" w:w="1077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目标值</w:t>
            </w:r>
          </w:p>
        </w:tc>
        <w:tc>
          <w:tcPr>
            <w:tcW w:type="dxa" w:w="737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计入目标（分）</w:t>
            </w:r>
          </w:p>
        </w:tc>
        <w:tc>
          <w:tcPr>
            <w:tcW w:type="dxa" w:w="680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全额（分）</w:t>
            </w:r>
          </w:p>
        </w:tc>
        <w:tc>
          <w:tcPr>
            <w:tcW w:type="dxa" w:w="1247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工作主线</w:t>
            </w:r>
          </w:p>
        </w:tc>
        <w:tc>
          <w:tcPr>
            <w:tcW w:type="dxa" w:w="2665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状态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教授授课率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11.7%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16.8%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+0.98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+0.98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科创竞赛奖（生均折合数）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0.0053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0.0065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+0.82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+0.82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教师职称结构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48.1%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51.8%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+0.80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+0.80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科研经费（总额）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0.137 亿元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3.75 亿元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+0.70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+0.70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授课教授比例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93.3%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99.4%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+0.61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+0.61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科研经费（师均）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0.62 万元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5.84 万元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+0.39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+0.60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科创竞赛奖（折合数）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203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233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+0.41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+0.41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师生比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0.0573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0.0604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+0.29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国际合作论文比例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18.4%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21.5%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+0.27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19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留学生比例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0.96%</w:t>
            </w:r>
          </w:p>
        </w:tc>
        <w:tc>
          <w:tcPr>
            <w:tcW w:type="dxa" w:w="107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1.12%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—</w:t>
            </w:r>
          </w:p>
        </w:tc>
        <w:tc>
          <w:tcPr>
            <w:tcW w:type="dxa" w:w="68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+0.11</w:t>
            </w:r>
          </w:p>
        </w:tc>
        <w:tc>
          <w:tcPr>
            <w:tcW w:type="dxa" w:w="124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逐项核查</w:t>
            </w:r>
          </w:p>
        </w:tc>
        <w:tc>
          <w:tcPr>
            <w:tcW w:type="dxa" w:w="266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待核对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5A6A7A"/>
          <w:sz w:val="19"/>
        </w:rPr>
        <w:t>备选事项 4 项（研本比、教师学历结构、国家科研项目（师均）、高端人才（师均））：待学校底稿核对后确定，全部计入估算 +0.5~12.4 分（中间值约 +6 分），不计入首年合计。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A1-2 · 2028 年行动事项逐项（单位：分）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2041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</w:t>
            </w:r>
          </w:p>
        </w:tc>
        <w:tc>
          <w:tcPr>
            <w:tcW w:type="dxa" w:w="2041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现值 → 目标值</w:t>
            </w:r>
          </w:p>
        </w:tc>
        <w:tc>
          <w:tcPr>
            <w:tcW w:type="dxa" w:w="737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计入目标（分）</w:t>
            </w:r>
          </w:p>
        </w:tc>
        <w:tc>
          <w:tcPr>
            <w:tcW w:type="dxa" w:w="737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全额（分）</w:t>
            </w:r>
          </w:p>
        </w:tc>
        <w:tc>
          <w:tcPr>
            <w:tcW w:type="dxa" w:w="1361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类别</w:t>
            </w:r>
          </w:p>
        </w:tc>
        <w:tc>
          <w:tcPr>
            <w:tcW w:type="dxa" w:w="249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工作主线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本科毕业生深造率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40.89% → 40.89%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1 项合计</w:t>
            </w:r>
          </w:p>
        </w:tc>
        <w:tc>
          <w:tcPr>
            <w:tcW w:type="dxa" w:w="204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737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+0.00</w:t>
            </w:r>
          </w:p>
        </w:tc>
        <w:tc>
          <w:tcPr>
            <w:tcW w:type="dxa" w:w="737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+0.00</w:t>
            </w:r>
          </w:p>
        </w:tc>
        <w:tc>
          <w:tcPr>
            <w:tcW w:type="dxa" w:w="136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2494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</w:tr>
    </w:tbl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A1-3 · 2029 年行动事项逐项（单位：分）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2041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</w:t>
            </w:r>
          </w:p>
        </w:tc>
        <w:tc>
          <w:tcPr>
            <w:tcW w:type="dxa" w:w="2041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现值 → 目标值</w:t>
            </w:r>
          </w:p>
        </w:tc>
        <w:tc>
          <w:tcPr>
            <w:tcW w:type="dxa" w:w="737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计入目标（分）</w:t>
            </w:r>
          </w:p>
        </w:tc>
        <w:tc>
          <w:tcPr>
            <w:tcW w:type="dxa" w:w="737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全额（分）</w:t>
            </w:r>
          </w:p>
        </w:tc>
        <w:tc>
          <w:tcPr>
            <w:tcW w:type="dxa" w:w="1361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类别</w:t>
            </w:r>
          </w:p>
        </w:tc>
        <w:tc>
          <w:tcPr>
            <w:tcW w:type="dxa" w:w="249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工作主线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国家级与认证专业精度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2.074 → 2.417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+0.64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+0.96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科研经费（师均）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0.6219 → 24.28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+0.21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+1.78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本科毕业生深造率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40.89% → 40.89%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教授授课率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16.84% → 16.84%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科研经费（总额）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3.721 → 3.721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授课教授比例</w:t>
            </w:r>
          </w:p>
        </w:tc>
        <w:tc>
          <w:tcPr>
            <w:tcW w:type="dxa" w:w="204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99.45% → 99.45%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73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+0.00</w:t>
            </w:r>
          </w:p>
        </w:tc>
        <w:tc>
          <w:tcPr>
            <w:tcW w:type="dxa" w:w="136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正式报告与统计</w:t>
            </w:r>
          </w:p>
        </w:tc>
        <w:tc>
          <w:tcPr>
            <w:tcW w:type="dxa" w:w="249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近期 · 报告与统计</w:t>
            </w:r>
          </w:p>
        </w:tc>
      </w:tr>
      <w:tr>
        <w:tc>
          <w:tcPr>
            <w:tcW w:type="dxa" w:w="204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6 项合计</w:t>
            </w:r>
          </w:p>
        </w:tc>
        <w:tc>
          <w:tcPr>
            <w:tcW w:type="dxa" w:w="204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737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+0.85</w:t>
            </w:r>
          </w:p>
        </w:tc>
        <w:tc>
          <w:tcPr>
            <w:tcW w:type="dxa" w:w="737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+2.74</w:t>
            </w:r>
          </w:p>
        </w:tc>
        <w:tc>
          <w:tcPr>
            <w:tcW w:type="dxa" w:w="1361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2494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</w:tr>
    </w:tbl>
    <w:p>
      <w:pPr>
        <w:pStyle w:val="Heading2"/>
      </w:pPr>
      <w:r>
        <w:t>A2 · 指标分类汇总与正式报告对应关系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A2-1 · 全量 100 项按处理方式分类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814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类别</w:t>
            </w:r>
          </w:p>
        </w:tc>
        <w:tc>
          <w:tcPr>
            <w:tcW w:type="dxa" w:w="907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项数</w:t>
            </w:r>
          </w:p>
        </w:tc>
        <w:tc>
          <w:tcPr>
            <w:tcW w:type="dxa" w:w="6690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说明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报告统计类</w:t>
            </w:r>
          </w:p>
        </w:tc>
        <w:tc>
          <w:tcPr>
            <w:tcW w:type="dxa" w:w="90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以正式报告与统计为依据，编制期先行评审口径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台账核对类</w:t>
            </w:r>
          </w:p>
        </w:tc>
        <w:tc>
          <w:tcPr>
            <w:tcW w:type="dxa" w:w="90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23</w:t>
            </w:r>
          </w:p>
        </w:tc>
        <w:tc>
          <w:tcPr>
            <w:tcW w:type="dxa" w:w="669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以学校台账与官方名单逐项核对后确定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建设推进类</w:t>
            </w:r>
          </w:p>
        </w:tc>
        <w:tc>
          <w:tcPr>
            <w:tcW w:type="dxa" w:w="90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22</w:t>
            </w:r>
          </w:p>
        </w:tc>
        <w:tc>
          <w:tcPr>
            <w:tcW w:type="dxa" w:w="669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以年度建设推进，增量作用于后续版本</w:t>
            </w:r>
          </w:p>
        </w:tc>
      </w:tr>
      <w:tr>
        <w:tc>
          <w:tcPr>
            <w:tcW w:type="dxa" w:w="1814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观察类</w:t>
            </w:r>
          </w:p>
        </w:tc>
        <w:tc>
          <w:tcPr>
            <w:tcW w:type="dxa" w:w="907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32</w:t>
            </w:r>
          </w:p>
        </w:tc>
        <w:tc>
          <w:tcPr>
            <w:tcW w:type="dxa" w:w="6690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仅作观察，不计入目标与预期</w:t>
            </w:r>
          </w:p>
        </w:tc>
      </w:tr>
      <w:tr>
        <w:tc>
          <w:tcPr>
            <w:tcW w:type="dxa" w:w="1814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907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100</w:t>
            </w:r>
          </w:p>
        </w:tc>
        <w:tc>
          <w:tcPr>
            <w:tcW w:type="dxa" w:w="6690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全量 100 项分类不在本简报载录，本表仅列汇总</w:t>
            </w:r>
          </w:p>
        </w:tc>
      </w:tr>
    </w:tbl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A2-2 · 正式报告与统计的对应关系和责任部门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2835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报告与统计</w:t>
            </w:r>
          </w:p>
        </w:tc>
        <w:tc>
          <w:tcPr>
            <w:tcW w:type="dxa" w:w="2608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责任部门</w:t>
            </w:r>
          </w:p>
        </w:tc>
        <w:tc>
          <w:tcPr>
            <w:tcW w:type="dxa" w:w="3969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对应事项</w:t>
            </w:r>
          </w:p>
        </w:tc>
      </w:tr>
      <w:tr>
        <w:tc>
          <w:tcPr>
            <w:tcW w:type="dxa" w:w="283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毕业生就业质量报告</w:t>
            </w:r>
          </w:p>
        </w:tc>
        <w:tc>
          <w:tcPr>
            <w:tcW w:type="dxa" w:w="260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学生工作部 · 就业指导中心</w:t>
            </w:r>
          </w:p>
        </w:tc>
        <w:tc>
          <w:tcPr>
            <w:tcW w:type="dxa" w:w="396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本科毕业生深造率、本科毕业生毕业去向落实率；深造率按年定目标（2028 年守成38～41%、2029 年守成38～41%）</w:t>
            </w:r>
          </w:p>
        </w:tc>
      </w:tr>
      <w:tr>
        <w:tc>
          <w:tcPr>
            <w:tcW w:type="dxa" w:w="283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本科教学质量报告</w:t>
            </w:r>
          </w:p>
        </w:tc>
        <w:tc>
          <w:tcPr>
            <w:tcW w:type="dxa" w:w="260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教务处</w:t>
            </w:r>
          </w:p>
        </w:tc>
        <w:tc>
          <w:tcPr>
            <w:tcW w:type="dxa" w:w="396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教授授课率、授课教授比例</w:t>
            </w:r>
          </w:p>
        </w:tc>
      </w:tr>
      <w:tr>
        <w:tc>
          <w:tcPr>
            <w:tcW w:type="dxa" w:w="283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教育事业统计（高基表）与学校正式发布</w:t>
            </w:r>
          </w:p>
        </w:tc>
        <w:tc>
          <w:tcPr>
            <w:tcW w:type="dxa" w:w="260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人事处 · 发展规划处（统筹） · 国际交流合作处</w:t>
            </w:r>
          </w:p>
        </w:tc>
        <w:tc>
          <w:tcPr>
            <w:tcW w:type="dxa" w:w="396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教师职称结构、国家级与认证专业精度等 11 项</w:t>
            </w:r>
          </w:p>
        </w:tc>
      </w:tr>
      <w:tr>
        <w:tc>
          <w:tcPr>
            <w:tcW w:type="dxa" w:w="283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部门决算与财务公开</w:t>
            </w:r>
          </w:p>
        </w:tc>
        <w:tc>
          <w:tcPr>
            <w:tcW w:type="dxa" w:w="260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 · 财务处</w:t>
            </w:r>
          </w:p>
        </w:tc>
        <w:tc>
          <w:tcPr>
            <w:tcW w:type="dxa" w:w="396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科研经费（师均）、科研经费（总额）等 5 项</w:t>
            </w:r>
          </w:p>
        </w:tc>
      </w:tr>
      <w:tr>
        <w:tc>
          <w:tcPr>
            <w:tcW w:type="dxa" w:w="283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基金会年报与捐赠入账记录</w:t>
            </w:r>
          </w:p>
        </w:tc>
        <w:tc>
          <w:tcPr>
            <w:tcW w:type="dxa" w:w="260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校友工作部 · 教育发展基金会</w:t>
            </w:r>
          </w:p>
        </w:tc>
        <w:tc>
          <w:tcPr>
            <w:tcW w:type="dxa" w:w="396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社会捐赠收入（总额）</w:t>
            </w:r>
          </w:p>
        </w:tc>
      </w:tr>
      <w:tr>
        <w:tc>
          <w:tcPr>
            <w:tcW w:type="dxa" w:w="283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平台与专业认定名单归集</w:t>
            </w:r>
          </w:p>
        </w:tc>
        <w:tc>
          <w:tcPr>
            <w:tcW w:type="dxa" w:w="260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科学技术处</w:t>
            </w:r>
          </w:p>
        </w:tc>
        <w:tc>
          <w:tcPr>
            <w:tcW w:type="dxa" w:w="3969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科研平台（师均折合数）、科研平台（折合数）</w:t>
            </w:r>
          </w:p>
        </w:tc>
      </w:tr>
    </w:tbl>
    <w:p>
      <w:pPr>
        <w:pStyle w:val="Heading2"/>
      </w:pPr>
      <w:r>
        <w:t>A3 · 年度重要时间节点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A3 · 年度重要时间节点（按月份列示）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907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月份</w:t>
            </w:r>
          </w:p>
        </w:tc>
        <w:tc>
          <w:tcPr>
            <w:tcW w:type="dxa" w:w="4876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节点</w:t>
            </w:r>
          </w:p>
        </w:tc>
        <w:tc>
          <w:tcPr>
            <w:tcW w:type="dxa" w:w="3628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影响版本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爱思唯尔中国高被引科学家名单发布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下一版核查参考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3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科技统计年报报送；国家自然科学基金集中申报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版（数据生产）；2029 版起（项目增量）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4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软科中国大学排名发布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当版（结果与核查核对）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6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部门决算编制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7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毕业生去向登记查漏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8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部门决算公开 · 落实率统计截止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9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高基表统计时点（9 月 1 日）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10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高基表报送截止 · 最好学科发布 · 社科立项公布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版（数据生产）· 2027 版（学科取数）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11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数据共享计划（DEP）填报启动 · 高被引名单发布；就业质量报告编制启动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2027 版（提报与取数）；2028 版（数据生产）</w:t>
            </w:r>
          </w:p>
        </w:tc>
      </w:tr>
      <w:tr>
        <w:tc>
          <w:tcPr>
            <w:tcW w:type="dxa" w:w="907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12 月</w:t>
            </w:r>
          </w:p>
        </w:tc>
        <w:tc>
          <w:tcPr>
            <w:tcW w:type="dxa" w:w="4876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本科教学质量报告发布期 · 就业质量报告发布</w:t>
            </w:r>
          </w:p>
        </w:tc>
        <w:tc>
          <w:tcPr>
            <w:tcW w:type="dxa" w:w="3628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2028 版（数据生产）</w:t>
            </w:r>
          </w:p>
        </w:tc>
      </w:tr>
    </w:tbl>
    <w:p>
      <w:pPr>
        <w:pStyle w:val="Heading2"/>
      </w:pPr>
      <w:r>
        <w:t>A4 · 核查材料分布</w:t>
      </w:r>
    </w:p>
    <w:p>
      <w:pPr>
        <w:spacing w:after="60" w:before="12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表 A4 · 逐项核查材料条数分布（共 89 条）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4195"/>
            <w:shd w:val="clear" w:fill="F5F3EF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指标组</w:t>
            </w:r>
          </w:p>
        </w:tc>
        <w:tc>
          <w:tcPr>
            <w:tcW w:type="dxa" w:w="1020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条数</w:t>
            </w:r>
          </w:p>
        </w:tc>
        <w:tc>
          <w:tcPr>
            <w:tcW w:type="dxa" w:w="1020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已核对</w:t>
            </w:r>
          </w:p>
        </w:tc>
        <w:tc>
          <w:tcPr>
            <w:tcW w:type="dxa" w:w="1020"/>
            <w:shd w:val="clear" w:fill="F5F3EF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5A6A7A"/>
                <w:sz w:val="18"/>
              </w:rPr>
              <w:t>待核对</w:t>
            </w:r>
          </w:p>
        </w:tc>
      </w:tr>
      <w:tr>
        <w:tc>
          <w:tcPr>
            <w:tcW w:type="dxa" w:w="419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逐项核查项（计入候选 7 ＋ 备选事项 3）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59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40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19</w:t>
            </w:r>
          </w:p>
        </w:tc>
      </w:tr>
      <w:tr>
        <w:tc>
          <w:tcPr>
            <w:tcW w:type="dxa" w:w="419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备选项（4）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13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11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2</w:t>
            </w:r>
          </w:p>
        </w:tc>
      </w:tr>
      <w:tr>
        <w:tc>
          <w:tcPr>
            <w:tcW w:type="dxa" w:w="4195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 w:val="0"/>
                <w:color w:val="2D3748"/>
                <w:sz w:val="18"/>
              </w:rPr>
              <w:t>核查项（2）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17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11</w:t>
            </w:r>
          </w:p>
        </w:tc>
        <w:tc>
          <w:tcPr>
            <w:tcW w:type="dxa" w:w="1020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 w:val="0"/>
                <w:color w:val="5A6A7A"/>
                <w:sz w:val="18"/>
              </w:rPr>
              <w:t>6</w:t>
            </w:r>
          </w:p>
        </w:tc>
      </w:tr>
      <w:tr>
        <w:tc>
          <w:tcPr>
            <w:tcW w:type="dxa" w:w="4195"/>
            <w:shd w:val="clear" w:fill="FAF8F1"/>
          </w:tcPr>
          <w:p>
            <w:pPr>
              <w:spacing w:after="20" w:before="20" w:line="300" w:lineRule="auto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合计</w:t>
            </w:r>
          </w:p>
        </w:tc>
        <w:tc>
          <w:tcPr>
            <w:tcW w:type="dxa" w:w="1020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89</w:t>
            </w:r>
          </w:p>
        </w:tc>
        <w:tc>
          <w:tcPr>
            <w:tcW w:type="dxa" w:w="1020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  <w:tc>
          <w:tcPr>
            <w:tcW w:type="dxa" w:w="1020"/>
            <w:shd w:val="clear" w:fill="FAF8F1"/>
          </w:tcPr>
          <w:p>
            <w:pPr>
              <w:spacing w:after="20" w:before="20" w:line="300" w:lineRule="auto"/>
              <w:jc w:val="right"/>
            </w:pPr>
            <w:r/>
            <w:r>
              <w:rPr>
                <w:rFonts w:ascii="Segoe UI" w:hAnsi="Segoe UI" w:eastAsia="Microsoft YaHei"/>
                <w:b/>
                <w:color w:val="2D3748"/>
                <w:sz w:val="18"/>
              </w:rPr>
              <w:t>—</w:t>
            </w:r>
          </w:p>
        </w:tc>
      </w:tr>
    </w:tbl>
    <w:p>
      <w:pPr>
        <w:spacing w:after="80" w:before="0" w:line="324" w:lineRule="auto"/>
      </w:pPr>
      <w:r>
        <w:rPr>
          <w:rFonts w:ascii="Segoe UI" w:hAnsi="Segoe UI" w:eastAsia="Microsoft YaHei"/>
          <w:b w:val="0"/>
          <w:color w:val="8A9AAA"/>
          <w:sz w:val="18"/>
        </w:rPr>
        <w:t>注：本表按指标组统计核查材料条数；个别事项单独核查的，不计入本表。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Microsoft YaHei"/>
        <w:b w:val="0"/>
        <w:color w:val="595959"/>
        <w:sz w:val="17"/>
      </w:rPr>
      <w:t>2026 年 11 月 4 日</w:t>
      <w:tab/>
    </w:r>
    <w:r>
      <w:rPr>
        <w:rFonts w:ascii="Segoe UI" w:hAnsi="Segoe UI" w:eastAsia="Microsoft YaHei"/>
        <w:b w:val="0"/>
        <w:color w:val="595959"/>
        <w:sz w:val="17"/>
      </w:rPr>
      <w:t xml:space="preserve">第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PAGE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 / 共 </w:t>
    </w:r>
    <w:r>
      <w:rPr>
        <w:rFonts w:ascii="Segoe UI" w:hAnsi="Segoe UI" w:eastAsia="Microsoft YaHei"/>
        <w:b w:val="0"/>
        <w:color w:val="595959"/>
        <w:sz w:val="17"/>
      </w:rPr>
      <w:fldChar w:fldCharType="begin"/>
      <w:instrText xml:space="preserve">NUMPAGES</w:instrText>
      <w:fldChar w:fldCharType="end"/>
    </w:r>
    <w:r>
      <w:rPr>
        <w:rFonts w:ascii="Segoe UI" w:hAnsi="Segoe UI" w:eastAsia="Microsoft YaHei"/>
        <w:b w:val="0"/>
        <w:color w:val="595959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Microsoft YaHei"/>
        <w:b w:val="0"/>
        <w:color w:val="595959"/>
        <w:sz w:val="17"/>
      </w:rPr>
      <w:t>山东科技大学 · 软科中国大学排名提升工作简报</w:t>
      <w:tab/>
      <w:t>数据截至 2026 年 11 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80"/>
    </w:pPr>
    <w:rPr>
      <w:rFonts w:ascii="Segoe UI" w:hAnsi="Segoe UI" w:eastAsia="Microsoft YaHei"/>
      <w:color w:val="2D374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Georgia" w:hAnsi="Georgia" w:eastAsia="SimSun"/>
      <w:b/>
      <w:bCs/>
      <w:color w:val="2D374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